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22F" w:rsidRDefault="007847F8">
      <w:pPr>
        <w:rPr>
          <w:rFonts w:ascii="Bookman Old Style" w:hAnsi="Bookman Old Style"/>
          <w:lang w:val="en-US"/>
        </w:rPr>
      </w:pPr>
      <w:r w:rsidRPr="00333351">
        <w:rPr>
          <w:rFonts w:ascii="Bookman Old Style" w:hAnsi="Bookman Old Style"/>
          <w:u w:val="single"/>
          <w:lang w:val="en-US"/>
        </w:rPr>
        <w:t>PROCEDURAL ASPECTS OF CONSUMER LAW ENFORCEMENT</w:t>
      </w:r>
      <w:r w:rsidR="001B1C20">
        <w:rPr>
          <w:rFonts w:ascii="Bookman Old Style" w:hAnsi="Bookman Old Style"/>
          <w:lang w:val="en-US"/>
        </w:rPr>
        <w:br/>
      </w:r>
      <w:r w:rsidR="001B1C20">
        <w:rPr>
          <w:rFonts w:ascii="Bookman Old Style" w:hAnsi="Bookman Old Style"/>
          <w:lang w:val="en-US"/>
        </w:rPr>
        <w:br/>
        <w:t>Following the discussions at the ECCG meeting of 23 January and taking into account the Evaluation study of national procedural laws and practices as well as the Commission Report on common principles for injunctive and compensatory collective redress mechanisms, it is suggested that the ECCG prepares an opinion for adop</w:t>
      </w:r>
      <w:r w:rsidR="00E34838">
        <w:rPr>
          <w:rFonts w:ascii="Bookman Old Style" w:hAnsi="Bookman Old Style"/>
          <w:lang w:val="en-US"/>
        </w:rPr>
        <w:t>tion by the end of this year on the following issues. The first is about making the best concerning national implementation of the revised CPC Regulation. The second and third are key issues not to be addressed in the “New Deal” package but deserving exchange of best national practices for any future initiatives/national use.</w:t>
      </w:r>
      <w:r w:rsidR="001B1C20">
        <w:rPr>
          <w:rFonts w:ascii="Bookman Old Style" w:hAnsi="Bookman Old Style"/>
          <w:lang w:val="en-US"/>
        </w:rPr>
        <w:br/>
      </w:r>
      <w:r w:rsidR="001B1C20">
        <w:rPr>
          <w:rFonts w:ascii="Bookman Old Style" w:hAnsi="Bookman Old Style"/>
          <w:lang w:val="en-US"/>
        </w:rPr>
        <w:br/>
        <w:t xml:space="preserve">1. </w:t>
      </w:r>
      <w:r w:rsidR="001B1C20" w:rsidRPr="00333351">
        <w:rPr>
          <w:rFonts w:ascii="Bookman Old Style" w:hAnsi="Bookman Old Style"/>
          <w:u w:val="single"/>
          <w:lang w:val="en-US"/>
        </w:rPr>
        <w:t>Improve public enforcement</w:t>
      </w:r>
      <w:r w:rsidR="00333351" w:rsidRPr="00333351">
        <w:rPr>
          <w:rFonts w:ascii="Bookman Old Style" w:hAnsi="Bookman Old Style"/>
          <w:u w:val="single"/>
          <w:lang w:val="en-US"/>
        </w:rPr>
        <w:t xml:space="preserve"> of consumer law</w:t>
      </w:r>
      <w:r w:rsidR="00333351">
        <w:rPr>
          <w:rFonts w:ascii="Bookman Old Style" w:hAnsi="Bookman Old Style"/>
          <w:lang w:val="en-US"/>
        </w:rPr>
        <w:br/>
        <w:t xml:space="preserve">    </w:t>
      </w:r>
      <w:r w:rsidR="001B1C20">
        <w:rPr>
          <w:rFonts w:ascii="Bookman Old Style" w:hAnsi="Bookman Old Style"/>
          <w:lang w:val="en-US"/>
        </w:rPr>
        <w:t xml:space="preserve">Focus to be on enforcement of UCPD as case-study. </w:t>
      </w:r>
      <w:r w:rsidR="001B1C20">
        <w:rPr>
          <w:rFonts w:ascii="Bookman Old Style" w:hAnsi="Bookman Old Style"/>
          <w:lang w:val="en-US"/>
        </w:rPr>
        <w:br/>
      </w:r>
      <w:r w:rsidR="001B1C20">
        <w:rPr>
          <w:rFonts w:ascii="Bookman Old Style" w:hAnsi="Bookman Old Style"/>
          <w:lang w:val="en-US"/>
        </w:rPr>
        <w:br/>
        <w:t xml:space="preserve">Practical case under present CPC Regulation: the VW </w:t>
      </w:r>
      <w:proofErr w:type="spellStart"/>
      <w:r w:rsidR="001B1C20">
        <w:rPr>
          <w:rFonts w:ascii="Bookman Old Style" w:hAnsi="Bookman Old Style"/>
          <w:lang w:val="en-US"/>
        </w:rPr>
        <w:t>Dieselgate</w:t>
      </w:r>
      <w:proofErr w:type="spellEnd"/>
      <w:r w:rsidR="001B1C20">
        <w:rPr>
          <w:rFonts w:ascii="Bookman Old Style" w:hAnsi="Bookman Old Style"/>
          <w:lang w:val="en-US"/>
        </w:rPr>
        <w:t xml:space="preserve"> case.</w:t>
      </w:r>
      <w:r w:rsidR="001B1C20">
        <w:rPr>
          <w:rFonts w:ascii="Bookman Old Style" w:hAnsi="Bookman Old Style"/>
          <w:lang w:val="en-US"/>
        </w:rPr>
        <w:br/>
      </w:r>
      <w:r w:rsidR="00C8122F">
        <w:rPr>
          <w:rFonts w:ascii="Bookman Old Style" w:hAnsi="Bookman Old Style"/>
          <w:lang w:val="en-US"/>
        </w:rPr>
        <w:t>Italian and Netherlands enforcement authorities have fined the VW Group.</w:t>
      </w:r>
      <w:r w:rsidR="00C8122F">
        <w:rPr>
          <w:rFonts w:ascii="Bookman Old Style" w:hAnsi="Bookman Old Style"/>
          <w:lang w:val="en-US"/>
        </w:rPr>
        <w:br/>
        <w:t xml:space="preserve">Have these administrative decisions been upheld on court </w:t>
      </w:r>
      <w:proofErr w:type="gramStart"/>
      <w:r w:rsidR="00C8122F">
        <w:rPr>
          <w:rFonts w:ascii="Bookman Old Style" w:hAnsi="Bookman Old Style"/>
          <w:lang w:val="en-US"/>
        </w:rPr>
        <w:t>appeal ?</w:t>
      </w:r>
      <w:proofErr w:type="gramEnd"/>
      <w:r w:rsidR="00C8122F">
        <w:rPr>
          <w:rFonts w:ascii="Bookman Old Style" w:hAnsi="Bookman Old Style"/>
          <w:lang w:val="en-US"/>
        </w:rPr>
        <w:br/>
        <w:t xml:space="preserve">Have they helped individual/collective court actions for compensation ? </w:t>
      </w:r>
      <w:r w:rsidR="00C8122F">
        <w:rPr>
          <w:rFonts w:ascii="Bookman Old Style" w:hAnsi="Bookman Old Style"/>
          <w:lang w:val="en-US"/>
        </w:rPr>
        <w:br/>
        <w:t xml:space="preserve">Why haven’t public authorities in other Member States taken </w:t>
      </w:r>
      <w:proofErr w:type="gramStart"/>
      <w:r w:rsidR="00C8122F">
        <w:rPr>
          <w:rFonts w:ascii="Bookman Old Style" w:hAnsi="Bookman Old Style"/>
          <w:lang w:val="en-US"/>
        </w:rPr>
        <w:t>action ?</w:t>
      </w:r>
      <w:proofErr w:type="gramEnd"/>
      <w:r w:rsidR="00C8122F">
        <w:rPr>
          <w:rFonts w:ascii="Bookman Old Style" w:hAnsi="Bookman Old Style"/>
          <w:lang w:val="en-US"/>
        </w:rPr>
        <w:t xml:space="preserve"> </w:t>
      </w:r>
      <w:r w:rsidR="00C8122F">
        <w:rPr>
          <w:rFonts w:ascii="Bookman Old Style" w:hAnsi="Bookman Old Style"/>
          <w:lang w:val="en-US"/>
        </w:rPr>
        <w:br/>
      </w:r>
      <w:r w:rsidR="00C8122F">
        <w:rPr>
          <w:rFonts w:ascii="Bookman Old Style" w:hAnsi="Bookman Old Style"/>
          <w:lang w:val="en-US"/>
        </w:rPr>
        <w:br/>
        <w:t xml:space="preserve">Will the revised CPC Regulation with increased enforcement powers lead </w:t>
      </w:r>
      <w:proofErr w:type="gramStart"/>
      <w:r w:rsidR="00C8122F">
        <w:rPr>
          <w:rFonts w:ascii="Bookman Old Style" w:hAnsi="Bookman Old Style"/>
          <w:lang w:val="en-US"/>
        </w:rPr>
        <w:t>to</w:t>
      </w:r>
      <w:proofErr w:type="gramEnd"/>
      <w:r w:rsidR="00C8122F">
        <w:rPr>
          <w:rFonts w:ascii="Bookman Old Style" w:hAnsi="Bookman Old Style"/>
          <w:lang w:val="en-US"/>
        </w:rPr>
        <w:t xml:space="preserve"> </w:t>
      </w:r>
    </w:p>
    <w:p w:rsidR="005A4C17" w:rsidRDefault="00C8122F">
      <w:pPr>
        <w:rPr>
          <w:rFonts w:ascii="Bookman Old Style" w:hAnsi="Bookman Old Style"/>
          <w:lang w:val="en-US"/>
        </w:rPr>
      </w:pPr>
      <w:r>
        <w:rPr>
          <w:rFonts w:ascii="Bookman Old Style" w:hAnsi="Bookman Old Style"/>
          <w:lang w:val="en-US"/>
        </w:rPr>
        <w:t xml:space="preserve">more effective / coordinated public enforcement in such </w:t>
      </w:r>
      <w:proofErr w:type="gramStart"/>
      <w:r>
        <w:rPr>
          <w:rFonts w:ascii="Bookman Old Style" w:hAnsi="Bookman Old Style"/>
          <w:lang w:val="en-US"/>
        </w:rPr>
        <w:t>cases ?</w:t>
      </w:r>
      <w:proofErr w:type="gramEnd"/>
      <w:r>
        <w:rPr>
          <w:rFonts w:ascii="Bookman Old Style" w:hAnsi="Bookman Old Style"/>
          <w:lang w:val="en-US"/>
        </w:rPr>
        <w:t xml:space="preserve"> </w:t>
      </w:r>
      <w:r>
        <w:rPr>
          <w:rFonts w:ascii="Bookman Old Style" w:hAnsi="Bookman Old Style"/>
          <w:lang w:val="en-US"/>
        </w:rPr>
        <w:br/>
      </w:r>
      <w:r>
        <w:rPr>
          <w:rFonts w:ascii="Bookman Old Style" w:hAnsi="Bookman Old Style"/>
          <w:lang w:val="en-US"/>
        </w:rPr>
        <w:br/>
        <w:t>Assess the merits of joining national Competition</w:t>
      </w:r>
      <w:r w:rsidR="0074579E">
        <w:rPr>
          <w:rFonts w:ascii="Bookman Old Style" w:hAnsi="Bookman Old Style"/>
          <w:lang w:val="en-US"/>
        </w:rPr>
        <w:t xml:space="preserve"> &amp; Consumer Protection agencies</w:t>
      </w:r>
      <w:r>
        <w:rPr>
          <w:rFonts w:ascii="Bookman Old Style" w:hAnsi="Bookman Old Style"/>
          <w:lang w:val="en-US"/>
        </w:rPr>
        <w:t xml:space="preserve">: Overview of decisions taken under UCPD. </w:t>
      </w:r>
      <w:r w:rsidR="00FB4511">
        <w:rPr>
          <w:rFonts w:ascii="Bookman Old Style" w:hAnsi="Bookman Old Style"/>
          <w:lang w:val="en-US"/>
        </w:rPr>
        <w:br/>
      </w:r>
      <w:r w:rsidR="00FB4511">
        <w:rPr>
          <w:rFonts w:ascii="Bookman Old Style" w:hAnsi="Bookman Old Style"/>
          <w:lang w:val="en-US"/>
        </w:rPr>
        <w:br/>
        <w:t xml:space="preserve">2. </w:t>
      </w:r>
      <w:r w:rsidR="005A4C17" w:rsidRPr="00333351">
        <w:rPr>
          <w:rFonts w:ascii="Bookman Old Style" w:hAnsi="Bookman Old Style"/>
          <w:u w:val="single"/>
          <w:lang w:val="en-US"/>
        </w:rPr>
        <w:t>Divergent definitions of the consumer concept</w:t>
      </w:r>
      <w:r w:rsidR="005A4C17">
        <w:rPr>
          <w:rFonts w:ascii="Bookman Old Style" w:hAnsi="Bookman Old Style"/>
          <w:lang w:val="en-US"/>
        </w:rPr>
        <w:br/>
      </w:r>
      <w:r w:rsidR="005A4C17">
        <w:rPr>
          <w:rFonts w:ascii="Bookman Old Style" w:hAnsi="Bookman Old Style"/>
          <w:lang w:val="en-US"/>
        </w:rPr>
        <w:br/>
        <w:t>Discuss distinction between average and vulnerable consumer as referred to</w:t>
      </w:r>
    </w:p>
    <w:p w:rsidR="00333351" w:rsidRDefault="005A4C17">
      <w:pPr>
        <w:rPr>
          <w:rFonts w:ascii="Bookman Old Style" w:hAnsi="Bookman Old Style"/>
          <w:lang w:val="en-US"/>
        </w:rPr>
      </w:pPr>
      <w:r>
        <w:rPr>
          <w:rFonts w:ascii="Bookman Old Style" w:hAnsi="Bookman Old Style"/>
          <w:lang w:val="en-US"/>
        </w:rPr>
        <w:t>e.g. in UCPD and the Access to bank account directive.</w:t>
      </w:r>
      <w:r w:rsidR="00E34838">
        <w:rPr>
          <w:rFonts w:ascii="Bookman Old Style" w:hAnsi="Bookman Old Style"/>
          <w:lang w:val="en-US"/>
        </w:rPr>
        <w:t xml:space="preserve"> Is a follow-up to the existing ECCG opinion on vulnerable </w:t>
      </w:r>
      <w:proofErr w:type="gramStart"/>
      <w:r w:rsidR="00E34838">
        <w:rPr>
          <w:rFonts w:ascii="Bookman Old Style" w:hAnsi="Bookman Old Style"/>
          <w:lang w:val="en-US"/>
        </w:rPr>
        <w:t>consumers.</w:t>
      </w:r>
      <w:proofErr w:type="gramEnd"/>
      <w:r>
        <w:rPr>
          <w:rFonts w:ascii="Bookman Old Style" w:hAnsi="Bookman Old Style"/>
          <w:lang w:val="en-US"/>
        </w:rPr>
        <w:t xml:space="preserve"> </w:t>
      </w:r>
      <w:r>
        <w:rPr>
          <w:rFonts w:ascii="Bookman Old Style" w:hAnsi="Bookman Old Style"/>
          <w:lang w:val="en-US"/>
        </w:rPr>
        <w:br/>
      </w:r>
      <w:r>
        <w:rPr>
          <w:rFonts w:ascii="Bookman Old Style" w:hAnsi="Bookman Old Style"/>
          <w:lang w:val="en-US"/>
        </w:rPr>
        <w:br/>
        <w:t xml:space="preserve">Overview of Member State law/guidance on vulnerable consumer protection. </w:t>
      </w:r>
      <w:r>
        <w:rPr>
          <w:rFonts w:ascii="Bookman Old Style" w:hAnsi="Bookman Old Style"/>
          <w:lang w:val="en-US"/>
        </w:rPr>
        <w:br/>
      </w:r>
      <w:r>
        <w:rPr>
          <w:rFonts w:ascii="Bookman Old Style" w:hAnsi="Bookman Old Style"/>
          <w:lang w:val="en-US"/>
        </w:rPr>
        <w:br/>
        <w:t xml:space="preserve">3. </w:t>
      </w:r>
      <w:r w:rsidRPr="00333351">
        <w:rPr>
          <w:rFonts w:ascii="Bookman Old Style" w:hAnsi="Bookman Old Style"/>
          <w:u w:val="single"/>
          <w:lang w:val="en-US"/>
        </w:rPr>
        <w:t>Court costs</w:t>
      </w:r>
      <w:r>
        <w:rPr>
          <w:rFonts w:ascii="Bookman Old Style" w:hAnsi="Bookman Old Style"/>
          <w:lang w:val="en-US"/>
        </w:rPr>
        <w:t xml:space="preserve"> </w:t>
      </w:r>
      <w:r>
        <w:rPr>
          <w:rFonts w:ascii="Bookman Old Style" w:hAnsi="Bookman Old Style"/>
          <w:lang w:val="en-US"/>
        </w:rPr>
        <w:br/>
      </w:r>
      <w:r>
        <w:rPr>
          <w:rFonts w:ascii="Bookman Old Style" w:hAnsi="Bookman Old Style"/>
          <w:lang w:val="en-US"/>
        </w:rPr>
        <w:br/>
        <w:t>The above Evaluation study considers that no action is needed as</w:t>
      </w:r>
      <w:r w:rsidR="00E34838">
        <w:rPr>
          <w:rFonts w:ascii="Bookman Old Style" w:hAnsi="Bookman Old Style"/>
          <w:lang w:val="en-US"/>
        </w:rPr>
        <w:t xml:space="preserve"> </w:t>
      </w:r>
      <w:proofErr w:type="gramStart"/>
      <w:r w:rsidR="00E34838">
        <w:rPr>
          <w:rFonts w:ascii="Bookman Old Style" w:hAnsi="Bookman Old Style"/>
          <w:lang w:val="en-US"/>
        </w:rPr>
        <w:t>“ i</w:t>
      </w:r>
      <w:r>
        <w:rPr>
          <w:rFonts w:ascii="Bookman Old Style" w:hAnsi="Bookman Old Style"/>
          <w:lang w:val="en-US"/>
        </w:rPr>
        <w:t>t</w:t>
      </w:r>
      <w:proofErr w:type="gramEnd"/>
      <w:r>
        <w:rPr>
          <w:rFonts w:ascii="Bookman Old Style" w:hAnsi="Bookman Old Style"/>
          <w:lang w:val="en-US"/>
        </w:rPr>
        <w:t xml:space="preserve"> is not a pressing matter</w:t>
      </w:r>
      <w:r w:rsidR="00E34838">
        <w:rPr>
          <w:rFonts w:ascii="Bookman Old Style" w:hAnsi="Bookman Old Style"/>
          <w:lang w:val="en-US"/>
        </w:rPr>
        <w:t xml:space="preserve"> ”</w:t>
      </w:r>
      <w:r>
        <w:rPr>
          <w:rFonts w:ascii="Bookman Old Style" w:hAnsi="Bookman Old Style"/>
          <w:lang w:val="en-US"/>
        </w:rPr>
        <w:t xml:space="preserve">. The above Commission Report concludes on the loser pays principle that </w:t>
      </w:r>
      <w:proofErr w:type="gramStart"/>
      <w:r w:rsidR="00E34838">
        <w:rPr>
          <w:rFonts w:ascii="Bookman Old Style" w:hAnsi="Bookman Old Style"/>
          <w:lang w:val="en-US"/>
        </w:rPr>
        <w:t xml:space="preserve">“ </w:t>
      </w:r>
      <w:r>
        <w:rPr>
          <w:rFonts w:ascii="Bookman Old Style" w:hAnsi="Bookman Old Style"/>
          <w:lang w:val="en-US"/>
        </w:rPr>
        <w:t>its</w:t>
      </w:r>
      <w:proofErr w:type="gramEnd"/>
      <w:r>
        <w:rPr>
          <w:rFonts w:ascii="Bookman Old Style" w:hAnsi="Bookman Old Style"/>
          <w:lang w:val="en-US"/>
        </w:rPr>
        <w:t xml:space="preserve"> application may lead to substantial d</w:t>
      </w:r>
      <w:r w:rsidR="00333351">
        <w:rPr>
          <w:rFonts w:ascii="Bookman Old Style" w:hAnsi="Bookman Old Style"/>
          <w:lang w:val="en-US"/>
        </w:rPr>
        <w:t>ivergences</w:t>
      </w:r>
      <w:r>
        <w:rPr>
          <w:rFonts w:ascii="Bookman Old Style" w:hAnsi="Bookman Old Style"/>
          <w:lang w:val="en-US"/>
        </w:rPr>
        <w:t xml:space="preserve"> in collective/individual cases.</w:t>
      </w:r>
      <w:r w:rsidR="00E34838">
        <w:rPr>
          <w:rFonts w:ascii="Bookman Old Style" w:hAnsi="Bookman Old Style"/>
          <w:lang w:val="en-US"/>
        </w:rPr>
        <w:t>”</w:t>
      </w:r>
      <w:r>
        <w:rPr>
          <w:rFonts w:ascii="Bookman Old Style" w:hAnsi="Bookman Old Style"/>
          <w:lang w:val="en-US"/>
        </w:rPr>
        <w:t xml:space="preserve"> It also provides an overview on third party funding which is “increasingly being used in several Member States”. </w:t>
      </w:r>
      <w:r>
        <w:rPr>
          <w:rFonts w:ascii="Bookman Old Style" w:hAnsi="Bookman Old Style"/>
          <w:lang w:val="en-US"/>
        </w:rPr>
        <w:br/>
      </w:r>
      <w:r>
        <w:rPr>
          <w:rFonts w:ascii="Bookman Old Style" w:hAnsi="Bookman Old Style"/>
          <w:lang w:val="en-US"/>
        </w:rPr>
        <w:br/>
        <w:t>Is there a need for EU action on court/lit</w:t>
      </w:r>
      <w:r w:rsidR="00E34838">
        <w:rPr>
          <w:rFonts w:ascii="Bookman Old Style" w:hAnsi="Bookman Old Style"/>
          <w:lang w:val="en-US"/>
        </w:rPr>
        <w:t>igant</w:t>
      </w:r>
      <w:r w:rsidR="00333351">
        <w:rPr>
          <w:rFonts w:ascii="Bookman Old Style" w:hAnsi="Bookman Old Style"/>
          <w:lang w:val="en-US"/>
        </w:rPr>
        <w:t xml:space="preserve"> costs/</w:t>
      </w:r>
      <w:r>
        <w:rPr>
          <w:rFonts w:ascii="Bookman Old Style" w:hAnsi="Bookman Old Style"/>
          <w:lang w:val="en-US"/>
        </w:rPr>
        <w:t xml:space="preserve"> third party funding? </w:t>
      </w:r>
      <w:r w:rsidR="00333351">
        <w:rPr>
          <w:rFonts w:ascii="Bookman Old Style" w:hAnsi="Bookman Old Style"/>
          <w:lang w:val="en-US"/>
        </w:rPr>
        <w:br/>
      </w:r>
      <w:r w:rsidR="00333351">
        <w:rPr>
          <w:rFonts w:ascii="Bookman Old Style" w:hAnsi="Bookman Old Style"/>
          <w:lang w:val="en-US"/>
        </w:rPr>
        <w:br/>
        <w:t>In which Member States are such costs a discouragement for consumers/</w:t>
      </w:r>
    </w:p>
    <w:p w:rsidR="00333351" w:rsidRDefault="00333351">
      <w:pPr>
        <w:rPr>
          <w:rFonts w:ascii="Bookman Old Style" w:hAnsi="Bookman Old Style"/>
          <w:lang w:val="en-US"/>
        </w:rPr>
      </w:pPr>
      <w:r>
        <w:rPr>
          <w:rFonts w:ascii="Bookman Old Style" w:hAnsi="Bookman Old Style"/>
          <w:lang w:val="en-US"/>
        </w:rPr>
        <w:t xml:space="preserve">associations to go to </w:t>
      </w:r>
      <w:proofErr w:type="gramStart"/>
      <w:r>
        <w:rPr>
          <w:rFonts w:ascii="Bookman Old Style" w:hAnsi="Bookman Old Style"/>
          <w:lang w:val="en-US"/>
        </w:rPr>
        <w:t>court ?</w:t>
      </w:r>
      <w:proofErr w:type="gramEnd"/>
      <w:r w:rsidR="005A4C17">
        <w:rPr>
          <w:rFonts w:ascii="Bookman Old Style" w:hAnsi="Bookman Old Style"/>
          <w:lang w:val="en-US"/>
        </w:rPr>
        <w:br/>
      </w:r>
      <w:r w:rsidR="005A4C17">
        <w:rPr>
          <w:rFonts w:ascii="Bookman Old Style" w:hAnsi="Bookman Old Style"/>
          <w:lang w:val="en-US"/>
        </w:rPr>
        <w:br/>
      </w:r>
      <w:r>
        <w:rPr>
          <w:rFonts w:ascii="Bookman Old Style" w:hAnsi="Bookman Old Style"/>
          <w:lang w:val="en-US"/>
        </w:rPr>
        <w:t xml:space="preserve">What will the proposal for a directive amending the injunctions directive </w:t>
      </w:r>
      <w:r>
        <w:rPr>
          <w:rFonts w:ascii="Bookman Old Style" w:hAnsi="Bookman Old Style"/>
          <w:lang w:val="en-US"/>
        </w:rPr>
        <w:lastRenderedPageBreak/>
        <w:t xml:space="preserve">propose in this respect ? </w:t>
      </w:r>
      <w:r>
        <w:rPr>
          <w:rFonts w:ascii="Bookman Old Style" w:hAnsi="Bookman Old Style"/>
          <w:lang w:val="en-US"/>
        </w:rPr>
        <w:br/>
      </w:r>
    </w:p>
    <w:p w:rsidR="00333351" w:rsidRDefault="00333351">
      <w:pPr>
        <w:rPr>
          <w:rFonts w:ascii="Bookman Old Style" w:hAnsi="Bookman Old Style"/>
          <w:lang w:val="en-US"/>
        </w:rPr>
      </w:pPr>
      <w:r>
        <w:rPr>
          <w:rFonts w:ascii="Bookman Old Style" w:hAnsi="Bookman Old Style"/>
          <w:lang w:val="en-US"/>
        </w:rPr>
        <w:t xml:space="preserve">Lesson to be drawn from Regulation (EU) 2015/2421 on Small Claims Procedure, art. 16 on costs. </w:t>
      </w:r>
      <w:r>
        <w:rPr>
          <w:rFonts w:ascii="Bookman Old Style" w:hAnsi="Bookman Old Style"/>
          <w:lang w:val="en-US"/>
        </w:rPr>
        <w:br/>
        <w:t xml:space="preserve"> </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r w:rsidR="00E34838">
        <w:rPr>
          <w:rFonts w:ascii="Bookman Old Style" w:hAnsi="Bookman Old Style"/>
          <w:lang w:val="en-US"/>
        </w:rPr>
        <w:br/>
        <w:t xml:space="preserve">Bob SCHMITZ – </w:t>
      </w:r>
      <w:hyperlink r:id="rId6" w:history="1">
        <w:r w:rsidR="00E34838" w:rsidRPr="00B102C9">
          <w:rPr>
            <w:rStyle w:val="Lienhypertexte"/>
            <w:rFonts w:ascii="Bookman Old Style" w:hAnsi="Bookman Old Style"/>
            <w:lang w:val="en-US"/>
          </w:rPr>
          <w:t>bobschmitzlu@gmail.com</w:t>
        </w:r>
      </w:hyperlink>
      <w:r w:rsidR="00E34838">
        <w:rPr>
          <w:rFonts w:ascii="Bookman Old Style" w:hAnsi="Bookman Old Style"/>
          <w:lang w:val="en-US"/>
        </w:rPr>
        <w:t xml:space="preserve"> </w:t>
      </w:r>
      <w:r w:rsidR="00E34838">
        <w:rPr>
          <w:rFonts w:ascii="Bookman Old Style" w:hAnsi="Bookman Old Style"/>
          <w:lang w:val="en-US"/>
        </w:rPr>
        <w:br/>
        <w:t>27 February 2018</w:t>
      </w:r>
      <w:bookmarkStart w:id="0" w:name="_GoBack"/>
      <w:bookmarkEnd w:id="0"/>
    </w:p>
    <w:p w:rsidR="00333351" w:rsidRDefault="00333351">
      <w:pPr>
        <w:rPr>
          <w:rFonts w:ascii="Bookman Old Style" w:hAnsi="Bookman Old Style"/>
          <w:lang w:val="en-US"/>
        </w:rPr>
      </w:pPr>
    </w:p>
    <w:p w:rsidR="00E3022D" w:rsidRPr="007847F8" w:rsidRDefault="00333351">
      <w:pPr>
        <w:rPr>
          <w:rFonts w:ascii="Bookman Old Style" w:hAnsi="Bookman Old Style"/>
          <w:lang w:val="en-US"/>
        </w:rPr>
      </w:pPr>
      <w:r>
        <w:rPr>
          <w:rFonts w:ascii="Bookman Old Style" w:hAnsi="Bookman Old Style"/>
          <w:lang w:val="en-US"/>
        </w:rPr>
        <w:br/>
      </w:r>
      <w:r>
        <w:rPr>
          <w:rFonts w:ascii="Bookman Old Style" w:hAnsi="Bookman Old Style"/>
          <w:lang w:val="en-US"/>
        </w:rPr>
        <w:br/>
      </w:r>
      <w:r>
        <w:rPr>
          <w:rFonts w:ascii="Bookman Old Style" w:hAnsi="Bookman Old Style"/>
          <w:lang w:val="en-US"/>
        </w:rPr>
        <w:br/>
      </w:r>
      <w:r>
        <w:rPr>
          <w:rFonts w:ascii="Bookman Old Style" w:hAnsi="Bookman Old Style"/>
          <w:lang w:val="en-US"/>
        </w:rPr>
        <w:br/>
      </w:r>
      <w:r>
        <w:rPr>
          <w:rFonts w:ascii="Bookman Old Style" w:hAnsi="Bookman Old Style"/>
          <w:lang w:val="en-US"/>
        </w:rPr>
        <w:br/>
      </w:r>
      <w:r>
        <w:rPr>
          <w:rFonts w:ascii="Bookman Old Style" w:hAnsi="Bookman Old Style"/>
          <w:lang w:val="en-US"/>
        </w:rPr>
        <w:br/>
      </w:r>
      <w:r w:rsidR="005A4C17">
        <w:rPr>
          <w:rFonts w:ascii="Bookman Old Style" w:hAnsi="Bookman Old Style"/>
          <w:lang w:val="en-US"/>
        </w:rPr>
        <w:br/>
        <w:t xml:space="preserve">   </w:t>
      </w:r>
      <w:r w:rsidR="001B1C20">
        <w:rPr>
          <w:rFonts w:ascii="Bookman Old Style" w:hAnsi="Bookman Old Style"/>
          <w:lang w:val="en-US"/>
        </w:rPr>
        <w:t xml:space="preserve"> </w:t>
      </w:r>
    </w:p>
    <w:sectPr w:rsidR="00E3022D" w:rsidRPr="007847F8" w:rsidSect="00985D28">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52D" w:rsidRDefault="00C0452D" w:rsidP="00E34838">
      <w:r>
        <w:separator/>
      </w:r>
    </w:p>
  </w:endnote>
  <w:endnote w:type="continuationSeparator" w:id="0">
    <w:p w:rsidR="00C0452D" w:rsidRDefault="00C0452D" w:rsidP="00E3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31111994"/>
      <w:docPartObj>
        <w:docPartGallery w:val="Page Numbers (Bottom of Page)"/>
        <w:docPartUnique/>
      </w:docPartObj>
    </w:sdtPr>
    <w:sdtContent>
      <w:p w:rsidR="00E34838" w:rsidRDefault="00E34838" w:rsidP="00B102C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34838" w:rsidRDefault="00E34838" w:rsidP="00E3483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98148431"/>
      <w:docPartObj>
        <w:docPartGallery w:val="Page Numbers (Bottom of Page)"/>
        <w:docPartUnique/>
      </w:docPartObj>
    </w:sdtPr>
    <w:sdtContent>
      <w:p w:rsidR="00E34838" w:rsidRDefault="00E34838" w:rsidP="00B102C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E34838" w:rsidRDefault="00E34838" w:rsidP="00E3483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52D" w:rsidRDefault="00C0452D" w:rsidP="00E34838">
      <w:r>
        <w:separator/>
      </w:r>
    </w:p>
  </w:footnote>
  <w:footnote w:type="continuationSeparator" w:id="0">
    <w:p w:rsidR="00C0452D" w:rsidRDefault="00C0452D" w:rsidP="00E34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8"/>
    <w:rsid w:val="000873E5"/>
    <w:rsid w:val="001B1C20"/>
    <w:rsid w:val="00333351"/>
    <w:rsid w:val="00406BA4"/>
    <w:rsid w:val="004A3CBF"/>
    <w:rsid w:val="005A4C17"/>
    <w:rsid w:val="0074579E"/>
    <w:rsid w:val="007847F8"/>
    <w:rsid w:val="00985D28"/>
    <w:rsid w:val="00C0452D"/>
    <w:rsid w:val="00C8122F"/>
    <w:rsid w:val="00E3022D"/>
    <w:rsid w:val="00E34838"/>
    <w:rsid w:val="00FB4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7DCFC39"/>
  <w14:defaultImageDpi w14:val="32767"/>
  <w15:chartTrackingRefBased/>
  <w15:docId w15:val="{794597A6-52D2-9A44-8F85-3F78B361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34838"/>
    <w:pPr>
      <w:tabs>
        <w:tab w:val="center" w:pos="4536"/>
        <w:tab w:val="right" w:pos="9072"/>
      </w:tabs>
    </w:pPr>
  </w:style>
  <w:style w:type="character" w:customStyle="1" w:styleId="PieddepageCar">
    <w:name w:val="Pied de page Car"/>
    <w:basedOn w:val="Policepardfaut"/>
    <w:link w:val="Pieddepage"/>
    <w:uiPriority w:val="99"/>
    <w:rsid w:val="00E34838"/>
  </w:style>
  <w:style w:type="character" w:styleId="Numrodepage">
    <w:name w:val="page number"/>
    <w:basedOn w:val="Policepardfaut"/>
    <w:uiPriority w:val="99"/>
    <w:semiHidden/>
    <w:unhideWhenUsed/>
    <w:rsid w:val="00E34838"/>
  </w:style>
  <w:style w:type="character" w:styleId="Lienhypertexte">
    <w:name w:val="Hyperlink"/>
    <w:basedOn w:val="Policepardfaut"/>
    <w:uiPriority w:val="99"/>
    <w:unhideWhenUsed/>
    <w:rsid w:val="00E34838"/>
    <w:rPr>
      <w:color w:val="0563C1" w:themeColor="hyperlink"/>
      <w:u w:val="single"/>
    </w:rPr>
  </w:style>
  <w:style w:type="character" w:styleId="Mentionnonrsolue">
    <w:name w:val="Unresolved Mention"/>
    <w:basedOn w:val="Policepardfaut"/>
    <w:uiPriority w:val="99"/>
    <w:rsid w:val="00E348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bschmitzlu@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404</Words>
  <Characters>2228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Schmitz</dc:creator>
  <cp:keywords/>
  <dc:description/>
  <cp:lastModifiedBy>Bob Schmitz</cp:lastModifiedBy>
  <cp:revision>2</cp:revision>
  <cp:lastPrinted>2018-02-27T10:20:00Z</cp:lastPrinted>
  <dcterms:created xsi:type="dcterms:W3CDTF">2018-02-27T13:16:00Z</dcterms:created>
  <dcterms:modified xsi:type="dcterms:W3CDTF">2018-02-27T13:16:00Z</dcterms:modified>
</cp:coreProperties>
</file>